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F6" w:rsidRPr="00872AF6" w:rsidRDefault="00872AF6" w:rsidP="00872AF6">
      <w:pPr>
        <w:spacing w:after="0" w:line="240" w:lineRule="auto"/>
        <w:rPr>
          <w:rFonts w:ascii="Arial" w:eastAsia="Times New Roman" w:hAnsi="Arial" w:cs="Arial"/>
          <w:color w:val="222222"/>
          <w:sz w:val="20"/>
          <w:szCs w:val="20"/>
          <w:lang w:eastAsia="nl-NL"/>
        </w:rPr>
      </w:pPr>
      <w:bookmarkStart w:id="0" w:name="_GoBack"/>
      <w:bookmarkEnd w:id="0"/>
      <w:r w:rsidRPr="00872AF6">
        <w:rPr>
          <w:rFonts w:ascii="&amp;quot" w:eastAsia="Times New Roman" w:hAnsi="&amp;quot" w:cs="Arial"/>
          <w:b/>
          <w:bCs/>
          <w:color w:val="1F497D"/>
          <w:lang w:val="en-US" w:eastAsia="nl-NL"/>
        </w:rPr>
        <w:t>Webinar</w:t>
      </w:r>
      <w:r w:rsidRPr="00872AF6">
        <w:rPr>
          <w:rFonts w:ascii="&amp;quot" w:eastAsia="Times New Roman" w:hAnsi="&amp;quot" w:cs="Arial"/>
          <w:color w:val="1F497D"/>
          <w:lang w:val="en-US" w:eastAsia="nl-NL"/>
        </w:rPr>
        <w:t xml:space="preserve"> How do You Know if it's ADHD? (in </w:t>
      </w:r>
      <w:proofErr w:type="spellStart"/>
      <w:r w:rsidRPr="00872AF6">
        <w:rPr>
          <w:rFonts w:ascii="&amp;quot" w:eastAsia="Times New Roman" w:hAnsi="&amp;quot" w:cs="Arial"/>
          <w:color w:val="1F497D"/>
          <w:lang w:val="en-US" w:eastAsia="nl-NL"/>
        </w:rPr>
        <w:t>Engelse</w:t>
      </w:r>
      <w:proofErr w:type="spellEnd"/>
      <w:r w:rsidRPr="00872AF6">
        <w:rPr>
          <w:rFonts w:ascii="&amp;quot" w:eastAsia="Times New Roman" w:hAnsi="&amp;quot" w:cs="Arial"/>
          <w:color w:val="1F497D"/>
          <w:lang w:val="en-US" w:eastAsia="nl-NL"/>
        </w:rPr>
        <w:t xml:space="preserve"> </w:t>
      </w:r>
      <w:proofErr w:type="spellStart"/>
      <w:r w:rsidRPr="00872AF6">
        <w:rPr>
          <w:rFonts w:ascii="&amp;quot" w:eastAsia="Times New Roman" w:hAnsi="&amp;quot" w:cs="Arial"/>
          <w:color w:val="1F497D"/>
          <w:lang w:val="en-US" w:eastAsia="nl-NL"/>
        </w:rPr>
        <w:t>taal</w:t>
      </w:r>
      <w:proofErr w:type="spellEnd"/>
      <w:r w:rsidRPr="00872AF6">
        <w:rPr>
          <w:rFonts w:ascii="&amp;quot" w:eastAsia="Times New Roman" w:hAnsi="&amp;quot" w:cs="Arial"/>
          <w:color w:val="1F497D"/>
          <w:lang w:val="en-US" w:eastAsia="nl-NL"/>
        </w:rPr>
        <w:t xml:space="preserve">) with Vince </w:t>
      </w:r>
      <w:proofErr w:type="spellStart"/>
      <w:r w:rsidRPr="00872AF6">
        <w:rPr>
          <w:rFonts w:ascii="&amp;quot" w:eastAsia="Times New Roman" w:hAnsi="&amp;quot" w:cs="Arial"/>
          <w:color w:val="1F497D"/>
          <w:lang w:val="en-US" w:eastAsia="nl-NL"/>
        </w:rPr>
        <w:t>Monastra</w:t>
      </w:r>
      <w:proofErr w:type="spellEnd"/>
      <w:r w:rsidRPr="00872AF6">
        <w:rPr>
          <w:rFonts w:ascii="&amp;quot" w:eastAsia="Times New Roman" w:hAnsi="&amp;quot" w:cs="Arial"/>
          <w:color w:val="1F497D"/>
          <w:lang w:val="en-US" w:eastAsia="nl-NL"/>
        </w:rPr>
        <w:t>, PhD, BCN.</w:t>
      </w:r>
    </w:p>
    <w:p w:rsidR="00872AF6" w:rsidRDefault="00872AF6" w:rsidP="00872AF6">
      <w:pPr>
        <w:spacing w:after="0" w:line="240" w:lineRule="auto"/>
        <w:rPr>
          <w:rFonts w:ascii="&amp;quot" w:eastAsia="Times New Roman" w:hAnsi="&amp;quot" w:cs="Arial"/>
          <w:color w:val="1F497D"/>
          <w:lang w:val="en-US" w:eastAsia="nl-NL"/>
        </w:rPr>
      </w:pPr>
    </w:p>
    <w:p w:rsidR="00872AF6" w:rsidRPr="00872AF6" w:rsidRDefault="00872AF6" w:rsidP="00872AF6">
      <w:pPr>
        <w:spacing w:after="0" w:line="240" w:lineRule="auto"/>
        <w:rPr>
          <w:rFonts w:ascii="Arial" w:eastAsia="Times New Roman" w:hAnsi="Arial" w:cs="Arial"/>
          <w:color w:val="222222"/>
          <w:sz w:val="20"/>
          <w:szCs w:val="20"/>
          <w:lang w:eastAsia="nl-NL"/>
        </w:rPr>
      </w:pPr>
      <w:r w:rsidRPr="00872AF6">
        <w:rPr>
          <w:rFonts w:ascii="&amp;quot" w:eastAsia="Times New Roman" w:hAnsi="&amp;quot" w:cs="Arial"/>
          <w:color w:val="1F497D"/>
          <w:lang w:val="en-US" w:eastAsia="nl-NL"/>
        </w:rPr>
        <w:t xml:space="preserve">Although Attention-Deficit/Hyperactivity Disorder (ADHD) is a condition that is characterized by specified behavioral criteria, accurate diagnosis requires that other medical causes are considered and evaluated. Unfortunately, little guidance is provided in the DSM-V regarding the types of medical conditions that need to be considered. This program is intended to provide participants with an understanding of common medical conditions that "mimic" ADHD, and sequential process for conducting treatment in order to maximize treatment response. Instruction will be enhanced by case illustrations, guided instruction in the assessment process, and a review of outcome studies that have utilized the </w:t>
      </w:r>
      <w:proofErr w:type="spellStart"/>
      <w:r w:rsidRPr="00872AF6">
        <w:rPr>
          <w:rFonts w:ascii="&amp;quot" w:eastAsia="Times New Roman" w:hAnsi="&amp;quot" w:cs="Arial"/>
          <w:color w:val="1F497D"/>
          <w:lang w:val="en-US" w:eastAsia="nl-NL"/>
        </w:rPr>
        <w:t>Monastra-Lubar</w:t>
      </w:r>
      <w:proofErr w:type="spellEnd"/>
      <w:r w:rsidRPr="00872AF6">
        <w:rPr>
          <w:rFonts w:ascii="&amp;quot" w:eastAsia="Times New Roman" w:hAnsi="&amp;quot" w:cs="Arial"/>
          <w:color w:val="1F497D"/>
          <w:lang w:val="en-US" w:eastAsia="nl-NL"/>
        </w:rPr>
        <w:t xml:space="preserve"> Assessment Protocol.</w:t>
      </w:r>
    </w:p>
    <w:p w:rsidR="00F63D3D" w:rsidRDefault="00F63D3D"/>
    <w:sectPr w:rsidR="00F6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6"/>
    <w:rsid w:val="00872AF6"/>
    <w:rsid w:val="00C1180E"/>
    <w:rsid w:val="00F63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413A1-B58E-4BAA-96B7-0DF2ADA2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dc:creator>
  <cp:keywords/>
  <dc:description/>
  <cp:lastModifiedBy>Irma Oudenes</cp:lastModifiedBy>
  <cp:revision>2</cp:revision>
  <dcterms:created xsi:type="dcterms:W3CDTF">2018-10-16T12:01:00Z</dcterms:created>
  <dcterms:modified xsi:type="dcterms:W3CDTF">2018-10-16T12:01:00Z</dcterms:modified>
</cp:coreProperties>
</file>